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26" w:rsidRPr="000E6C26" w:rsidRDefault="000E6C26" w:rsidP="000E6C2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E6C2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Политика обработки и защиты персональных данных</w:t>
      </w:r>
    </w:p>
    <w:p w:rsidR="000E6C26" w:rsidRPr="000E6C26" w:rsidRDefault="000E6C26" w:rsidP="000E6C2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CB5DAE" w:rsidRDefault="00CB5DAE" w:rsidP="00CB5DAE">
      <w:pPr>
        <w:pStyle w:val="1"/>
        <w:spacing w:before="0" w:beforeAutospacing="0" w:after="0" w:afterAutospacing="0"/>
        <w:textAlignment w:val="baseline"/>
        <w:rPr>
          <w:b w:val="0"/>
          <w:bCs w:val="0"/>
        </w:rPr>
      </w:pPr>
      <w:r>
        <w:rPr>
          <w:b w:val="0"/>
          <w:bCs w:val="0"/>
        </w:rPr>
        <w:t>Персональные данные и видеонаблюдение в образовательном учреждении</w:t>
      </w:r>
    </w:p>
    <w:p w:rsidR="00CB5DAE" w:rsidRDefault="00CB5DAE" w:rsidP="00CB5DAE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1. Любая информация, которая позволяет идентифицировать человека, — это персональные данные. Поэтому действия с видеоизображением работника, обучающегося, его родителя (получение, хранение, передача и т. п.) относятся к обработке персональных данных.</w:t>
      </w:r>
    </w:p>
    <w:p w:rsidR="00CB5DAE" w:rsidRDefault="00CB5DAE" w:rsidP="00CB5DAE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Закон предусматривает только 12 случаев, когда разрешается обрабатывать персональные данные (часть 1 ст. 6 Федерального закона от 27 июля 2006 г. № 152-ФЗ «О персональных данных»), из которых в образовательных учреждениях популярен только один: получение согласия на обработку персональных данных (ПД).</w:t>
      </w:r>
    </w:p>
    <w:p w:rsidR="00CB5DAE" w:rsidRDefault="00CB5DAE" w:rsidP="00CB5DAE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В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одиннадцати случаев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согласие не требуется. Например, разрешается обработка ПД, если это необходимо для выполнения возложенных законодательством РФ на оператора (т. е. школу, детский сад) функций, полномочий и обязанностей. Отсюда вопрос: обязано ли образовательное учреждение осуществлять видеонаблюдение?</w:t>
      </w:r>
    </w:p>
    <w:p w:rsidR="00CB5DAE" w:rsidRDefault="00CB5DAE" w:rsidP="00CB5DAE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2.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Образовательное учреждение обязано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 и работников (п. 2 ч. 6 ст. 28 Федерального закона «Об образовании в Российской Федерации»).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Кроме того,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ч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. 3.1 ст. 5 Федерального закона «О противодействии терроризму» обязывает юридические лица, использующие свои объекты в образовательных целях, выполнять требования к антитеррористической защищенности этих объектов (территорий). Такие требования утверждены постановлением Правительства РФ от 7 октября 2017 г. № 1235 (далее по тексту — Требования № 1235).</w:t>
      </w:r>
    </w:p>
    <w:p w:rsidR="00CB5DAE" w:rsidRDefault="00CB5DAE" w:rsidP="00CB5DAE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В соответствии с Требованиями № 1235 оборудование образовательного учреждения системой видеонаблюдения относится к мероприятиям по обеспечению антитеррористической защищенности объектов (территорий). Таким образом, школа и детский сад, осуществляя видеонаблюдение, выполняют обязанность, предусмотренную законодательством РФ, т. е. согласие на обработку персональных данных не требуется.</w:t>
      </w:r>
    </w:p>
    <w:p w:rsidR="00CB5DAE" w:rsidRDefault="00CB5DAE" w:rsidP="00CB5DAE">
      <w:pPr>
        <w:pStyle w:val="a4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Однако следует учитывать, что Требования № 1235 предусматривают установку системы видеонаблюдения только для образовательных учреждений второй и первой категорий (небольшая табличка по категориям находится по этой ссылке </w:t>
      </w:r>
      <w:hyperlink r:id="rId4" w:tgtFrame="_blank" w:tooltip="Таблица категорий по антитеррористической защищенности" w:history="1">
        <w:r>
          <w:rPr>
            <w:rStyle w:val="a3"/>
            <w:rFonts w:ascii="Helvetica" w:hAnsi="Helvetica" w:cs="Helvetica"/>
            <w:color w:val="9F9F9F"/>
            <w:sz w:val="21"/>
            <w:szCs w:val="21"/>
            <w:bdr w:val="none" w:sz="0" w:space="0" w:color="auto" w:frame="1"/>
          </w:rPr>
          <w:t>http://alvih.ru/files/antiterror_kategor.pdf</w:t>
        </w:r>
      </w:hyperlink>
      <w:r>
        <w:rPr>
          <w:rFonts w:ascii="Helvetica" w:hAnsi="Helvetica" w:cs="Helvetica"/>
          <w:color w:val="444444"/>
          <w:sz w:val="21"/>
          <w:szCs w:val="21"/>
        </w:rPr>
        <w:t>).</w:t>
      </w:r>
    </w:p>
    <w:p w:rsidR="00CB5DAE" w:rsidRDefault="00CB5DAE" w:rsidP="00CB5DAE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Таким образом, буквальное толкование Требований № 1235 позволяет сделать вывод о необязательности видеонаблюдения для образовательных учреждений третьей категории, т. е. в этом случае необходимо получить согласие на обработку ПД как у работников, так и у родителей (законных представителей) обучающихся.</w:t>
      </w:r>
    </w:p>
    <w:p w:rsidR="00CB5DAE" w:rsidRDefault="00CB5DAE" w:rsidP="00CB5DAE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3. Несмотря на то, что согласие на обработку ПД в определённых случаях не требуется (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см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. п. 2), некоторые образовательные учреждения подстраховываются и оформляют согласия вне зависимости от категории безопасности. Почему?</w:t>
      </w:r>
    </w:p>
    <w:p w:rsidR="00CB5DAE" w:rsidRDefault="00CB5DAE" w:rsidP="00CB5DAE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proofErr w:type="gramStart"/>
      <w:r>
        <w:rPr>
          <w:rFonts w:ascii="Helvetica" w:hAnsi="Helvetica" w:cs="Helvetica"/>
          <w:color w:val="444444"/>
          <w:sz w:val="21"/>
          <w:szCs w:val="21"/>
        </w:rPr>
        <w:t xml:space="preserve">Причина в следующем: если проверяющие органы (прокуратура,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Роскомнадзор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, государственная инспекция труда) выяснят, что какая-то видеокамера установлена не в целях обеспечения безопасности, а в целях осуществления контроля за работниками (например, непосредственно у рабочего места), то отсутствие согласия на обработку персональных </w:t>
      </w:r>
      <w:r>
        <w:rPr>
          <w:rFonts w:ascii="Helvetica" w:hAnsi="Helvetica" w:cs="Helvetica"/>
          <w:color w:val="444444"/>
          <w:sz w:val="21"/>
          <w:szCs w:val="21"/>
        </w:rPr>
        <w:lastRenderedPageBreak/>
        <w:t>данных повлечёт административное наказание в виде штрафа в размере от 10 000 до 20 000 рублей (на должностное лицо) и (или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) от 15 000 до 75 000 рублей (на учреждение).</w:t>
      </w:r>
    </w:p>
    <w:p w:rsidR="00CB5DAE" w:rsidRDefault="00CB5DAE" w:rsidP="00CB5DAE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4. Обработка персональных данных не ограничивается наличием соответствующего согласия.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При осуществлении видеонаблюдения необходимо выполнить следующие требования:</w:t>
      </w:r>
      <w:r>
        <w:rPr>
          <w:rFonts w:ascii="Helvetica" w:hAnsi="Helvetica" w:cs="Helvetica"/>
          <w:color w:val="444444"/>
          <w:sz w:val="21"/>
          <w:szCs w:val="21"/>
        </w:rPr>
        <w:br/>
        <w:t>– на входе и внутри здания разместить предупреждающие знаки «Ведётся видеонаблюдение»;</w:t>
      </w:r>
      <w:r>
        <w:rPr>
          <w:rFonts w:ascii="Helvetica" w:hAnsi="Helvetica" w:cs="Helvetica"/>
          <w:color w:val="444444"/>
          <w:sz w:val="21"/>
          <w:szCs w:val="21"/>
        </w:rPr>
        <w:br/>
        <w:t>– в локальном нормативном акте («Положение об обработке персональных данных») отразить факт осуществления видеонаблюдения, его правовое обоснование, цели, срок хранения ПД;</w:t>
      </w:r>
      <w:r>
        <w:rPr>
          <w:rFonts w:ascii="Helvetica" w:hAnsi="Helvetica" w:cs="Helvetica"/>
          <w:color w:val="444444"/>
          <w:sz w:val="21"/>
          <w:szCs w:val="21"/>
        </w:rPr>
        <w:br/>
        <w:t>– приказом (распоряжением) назначить ответственного за архивирование видеоматериала и его уничтожение после срока хранения, определить перечень работников, которые имеют доступ к видеоматериалам;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br/>
        <w:t>– в трудовые договоры включить пункт о факте осуществления видеонаблюдения в образовательном учреждении, а детским садам такой пункт желательно прописать в договоре, который заключается с родителем при зачислении ребёнка в учреждение.</w:t>
      </w:r>
    </w:p>
    <w:p w:rsidR="00D97461" w:rsidRDefault="00D97461" w:rsidP="00D97461">
      <w:pPr>
        <w:pStyle w:val="1"/>
        <w:spacing w:before="0" w:beforeAutospacing="0" w:after="0" w:afterAutospacing="0"/>
        <w:textAlignment w:val="baseline"/>
        <w:rPr>
          <w:b w:val="0"/>
          <w:bCs w:val="0"/>
        </w:rPr>
      </w:pPr>
      <w:r>
        <w:rPr>
          <w:b w:val="0"/>
          <w:bCs w:val="0"/>
        </w:rPr>
        <w:t>О персональных данных при зачислении в школу</w:t>
      </w:r>
    </w:p>
    <w:p w:rsidR="00D97461" w:rsidRDefault="00D97461" w:rsidP="00D97461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proofErr w:type="gramStart"/>
      <w:r>
        <w:rPr>
          <w:rFonts w:ascii="Helvetica" w:hAnsi="Helvetica" w:cs="Helvetica"/>
          <w:color w:val="444444"/>
          <w:sz w:val="21"/>
          <w:szCs w:val="21"/>
        </w:rPr>
        <w:t>В соответствии со вторым абзацем п. 13 Порядка приёма граждан на обучение по образовательным программам начального общего, основного общего и среднего общего образования, утверждённого приказом Министерства образования и науки РФ от 22 января 2014 г. № 32, при приёме в школу с родителей (законных представителей) необходимо взять письменное согласие на обработку их персональных данных и персональных данных ребёнка (далее по тексту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— персональные данные, ПД) в порядке, установленном законодательством Российской Федерации. При этом даётся ссылка на часть 1 ст. 6 Федерального закона от 27 июля 2006 г. № 152-ФЗ «О персональных данных». Однако указанная норма закона не определяет порядок обработки ПД — в ней указаны случаи, когда разрешается обрабатывать ПД. Один из таких случаев — это наличие согласия на обработку персональных данных (при этом не устанавливается обязательная письменная форма согласия), а в одиннадцати случаях согласие не требуется.</w:t>
      </w:r>
    </w:p>
    <w:p w:rsidR="00D97461" w:rsidRDefault="00D97461" w:rsidP="00D97461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Например, не требуется согласие, когда обработка ПД необходима для выполнения возложенных законодательством РФ на оператора (т. е. школу) функций, полномочий и обязанностей. В состоянии ли школа реализовать процедуру приёма граждан на обучение (данное полномочие предусмотрено п. 8 ч. 3 ст. 28 Федерального закона «Об образовании в РФ») без использования персональных данных? Ответ очевиден.</w:t>
      </w:r>
    </w:p>
    <w:p w:rsidR="00D97461" w:rsidRDefault="00D97461" w:rsidP="00D97461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Если в процессе приёма граждан на обучение школа вносит персональные данные в региональную автоматизированную информационную систему, то это делается не по прихоти школы, а в целях исполнения обязанности, предусмотренной нормативными правовыми актами региона.</w:t>
      </w:r>
    </w:p>
    <w:p w:rsidR="00D97461" w:rsidRDefault="00D97461" w:rsidP="00D97461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Таким образом, имеются веские основания утверждать, что для осуществления приёма на обучение школа не обязана брать согласие родителей на обработку персональных данных. Зачем же тогда Министерство образования настаивает на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обратном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? Может быть, имеется в виду согласие на обработку школой ПД,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которые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потребуются в будущем? Сомнительно. Ведь обработка персональных данных должна осуществляться в соответствии с целями, для которых потребовались ПД. Это означает, что в согласии, которое подписывает родитель, необходимо указать все возможные случаи обработки персональных данных. Весьма непростая задача.</w:t>
      </w:r>
    </w:p>
    <w:p w:rsidR="00D97461" w:rsidRDefault="00D97461" w:rsidP="00D97461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Например, можно ли взять согласие на размещение на официальном сайте школы фот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о-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и (или) видеоизображений учащегося? Формально будто бы можно, т. к. при наличии письменного согласия разрешается обрабатывать любые персональные данные (разумеется, в соответствии с заявленными целями). Однако в некоторых регионах прокуратура и органы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lastRenderedPageBreak/>
        <w:t>Роскомнадзора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требуют:</w:t>
      </w:r>
      <w:r>
        <w:rPr>
          <w:rFonts w:ascii="Helvetica" w:hAnsi="Helvetica" w:cs="Helvetica"/>
          <w:color w:val="444444"/>
          <w:sz w:val="21"/>
          <w:szCs w:val="21"/>
        </w:rPr>
        <w:br/>
        <w:t>– доказать необходимость публикации фотографии (или видео) на сайте образовательной организации;</w:t>
      </w:r>
      <w:r>
        <w:rPr>
          <w:rFonts w:ascii="Helvetica" w:hAnsi="Helvetica" w:cs="Helvetica"/>
          <w:color w:val="444444"/>
          <w:sz w:val="21"/>
          <w:szCs w:val="21"/>
        </w:rPr>
        <w:br/>
        <w:t>– наличие письменного согласия на размещение конкретной фотографии (видео).</w:t>
      </w:r>
    </w:p>
    <w:p w:rsidR="00D97461" w:rsidRDefault="00D97461" w:rsidP="00D97461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При таких обстоятельствах брать заранее согласие на обработку всех персональных данных не имеет смысла. Однако приказ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Минобрнауки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является обязательным для исполнения всеми школами, поэтому процедура приёма на обучение должна сопровождаться подписью родителя (законного представителя) в типовой форме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согласия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а обработку персональных данных.</w:t>
      </w:r>
    </w:p>
    <w:p w:rsidR="00D97461" w:rsidRDefault="00D97461" w:rsidP="00D97461">
      <w:pPr>
        <w:pStyle w:val="1"/>
        <w:spacing w:before="0" w:beforeAutospacing="0" w:after="0" w:afterAutospacing="0"/>
        <w:textAlignment w:val="baseline"/>
        <w:rPr>
          <w:b w:val="0"/>
          <w:bCs w:val="0"/>
        </w:rPr>
      </w:pPr>
      <w:r>
        <w:rPr>
          <w:b w:val="0"/>
          <w:bCs w:val="0"/>
        </w:rPr>
        <w:t>Персональные данные работников образовательного учреждения</w:t>
      </w:r>
    </w:p>
    <w:p w:rsidR="00D97461" w:rsidRDefault="00D97461" w:rsidP="00D97461">
      <w:pPr>
        <w:pStyle w:val="4"/>
        <w:shd w:val="clear" w:color="auto" w:fill="FFFFFF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Два примера нарушения закона «О персональных данных» в образовательных учреждениях.</w:t>
      </w:r>
    </w:p>
    <w:p w:rsidR="00D97461" w:rsidRDefault="00D97461" w:rsidP="00D97461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drawing>
          <wp:inline distT="0" distB="0" distL="0" distR="0">
            <wp:extent cx="1838325" cy="2628900"/>
            <wp:effectExtent l="19050" t="0" r="9525" b="0"/>
            <wp:docPr id="1" name="Рисунок 1" descr="закон о персональных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кон о персональных данны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444444"/>
          <w:sz w:val="21"/>
          <w:szCs w:val="21"/>
        </w:rPr>
        <w:t>1. В начале каждого учебного года и каждого календарного года завуч заполняет таблицу «Сведения о педагогических работниках учреждения», и отправляет в методический кабинет районного отдела образования и в областной департамент образования. В таблицы заносятся самые различные сведения о педагогах: от даты рождения до номера мобильного телефона. Работники методического кабинета считают, что их действия не попадают под категорию «обработка персональных данных», т.к. они ничего с данными работников не делают, нигде их не используют, а «просто хранят».</w:t>
      </w:r>
    </w:p>
    <w:p w:rsidR="00D97461" w:rsidRDefault="00D97461" w:rsidP="00D97461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2. Профком обратился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к директору образовательного учреждения о предоставлении информации о привлечении работников к работе в праздничные дни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с указанием по каждому из работников даты привлечения и размера оплаты труда. Директор отказался, ссылаясь на то, что эти данные относятся к персональным данным работников, согласие работников на передачу этих данных профкому он не получил и не имеется никакой угрозы жизни и здоровью работников, если профком эти данные не получит.</w:t>
      </w:r>
    </w:p>
    <w:p w:rsidR="00D97461" w:rsidRDefault="00D97461" w:rsidP="00D97461">
      <w:pPr>
        <w:pStyle w:val="a4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В первом примере нарушают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закон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как завуч, так и работники методического кабинета. Завуч не получил согласие на передачу персональных данных работников в соответствии с пунктом 1 части 1 статьи 6 Федерального закона № 152-ФЗ «О персональных данных». Работники методического кабинета не знакомы со статьей 3 названного закона, которая к обработке персональных данных относит </w:t>
      </w:r>
      <w:r>
        <w:rPr>
          <w:rFonts w:ascii="Helvetica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любые </w:t>
      </w:r>
      <w:r>
        <w:rPr>
          <w:rFonts w:ascii="Helvetica" w:hAnsi="Helvetica" w:cs="Helvetica"/>
          <w:color w:val="444444"/>
          <w:sz w:val="21"/>
          <w:szCs w:val="21"/>
        </w:rPr>
        <w:t>действия с персональными данными. И хранение – это одно из подобных действий.</w:t>
      </w:r>
    </w:p>
    <w:p w:rsidR="00D97461" w:rsidRDefault="00D97461" w:rsidP="00D97461">
      <w:pPr>
        <w:pStyle w:val="a4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>Во втором примере директор нарушает закон, т.к. в этом случае нужно ссылаться не на упомянутый пункт 1, а на пункт 2 части 1 статьи 6 закона «О персональных данных», в соответствии с которым допускается обработка персональных данных без согласия работником, если она необходима для достижения целей, предусмотренных </w:t>
      </w:r>
      <w:proofErr w:type="spellStart"/>
      <w:r>
        <w:rPr>
          <w:rFonts w:ascii="Helvetica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законом</w:t>
      </w:r>
      <w:proofErr w:type="gramStart"/>
      <w:r>
        <w:rPr>
          <w:rFonts w:ascii="Helvetica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,</w:t>
      </w:r>
      <w:r>
        <w:rPr>
          <w:rFonts w:ascii="Helvetica" w:hAnsi="Helvetica" w:cs="Helvetica"/>
          <w:color w:val="444444"/>
          <w:sz w:val="21"/>
          <w:szCs w:val="21"/>
        </w:rPr>
        <w:t>д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ля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осуществления и выполнения возложенных законодательством Российской Федерации на оператора функций, полномочий и обязанностей. В переводе на обычный язык это означает следующее.</w:t>
      </w:r>
    </w:p>
    <w:p w:rsidR="00D97461" w:rsidRDefault="00D97461" w:rsidP="00D97461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Профком в соответствии с законом «О профессиональных союзах, их правах и гарантиях деятельности» имеет право:</w:t>
      </w:r>
      <w:r>
        <w:rPr>
          <w:rFonts w:ascii="Helvetica" w:hAnsi="Helvetica" w:cs="Helvetica"/>
          <w:color w:val="444444"/>
          <w:sz w:val="21"/>
          <w:szCs w:val="21"/>
        </w:rPr>
        <w:br/>
        <w:t>1) контролировать соблюдение коллективного договора;</w:t>
      </w:r>
      <w:r>
        <w:rPr>
          <w:rFonts w:ascii="Helvetica" w:hAnsi="Helvetica" w:cs="Helvetica"/>
          <w:color w:val="444444"/>
          <w:sz w:val="21"/>
          <w:szCs w:val="21"/>
        </w:rPr>
        <w:br/>
        <w:t>2) получать информацию по социально-трудовым вопросам.</w:t>
      </w:r>
    </w:p>
    <w:p w:rsidR="00D97461" w:rsidRDefault="00D97461" w:rsidP="00D97461">
      <w:pPr>
        <w:pStyle w:val="a4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Вопросы привлечения к работе в праздничные дни и оплаты этой работы регулируются коллективным договором и относятся  к категории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социально-трудовых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. Таким образом, отказ директора предоставить данные нарушает законные права профкома и не позволяет ему в полной мере выполнять возложенные на него законом функции по защите трудовых прав работников.</w:t>
      </w:r>
    </w:p>
    <w:p w:rsidR="00D97461" w:rsidRDefault="00D97461" w:rsidP="00D97461">
      <w:pPr>
        <w:pStyle w:val="a4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Таким образом, руководителю любого образовательного учреждения необходимо разобраться в области защиты персональных данных. Статья 24 закона «О персональных данных» гласит: «</w:t>
      </w:r>
      <w:r>
        <w:rPr>
          <w:rStyle w:val="a6"/>
          <w:rFonts w:ascii="Helvetica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Лица, виновные в нарушении требований настоящего Федерального закона, несут предусмотренную законодательством Российской Федерации ответственность</w:t>
      </w:r>
      <w:r>
        <w:rPr>
          <w:rFonts w:ascii="Helvetica" w:hAnsi="Helvetica" w:cs="Helvetica"/>
          <w:color w:val="444444"/>
          <w:sz w:val="21"/>
          <w:szCs w:val="21"/>
        </w:rPr>
        <w:t xml:space="preserve">»: 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Кодекс об административных правонарушениях (ст. 13.11 – 13.14), Трудовой кодекс (ст. 81 п. «в», ст. 90), Уголовный кодекс (ст. 137, ст. 140, ст. 272).</w:t>
      </w:r>
      <w:proofErr w:type="gramEnd"/>
    </w:p>
    <w:p w:rsidR="00D97461" w:rsidRDefault="00D97461" w:rsidP="00D97461">
      <w:pPr>
        <w:pStyle w:val="z-"/>
      </w:pPr>
      <w:r>
        <w:t>Начало формы</w:t>
      </w:r>
    </w:p>
    <w:sectPr w:rsidR="00D97461" w:rsidSect="0094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4FD"/>
    <w:rsid w:val="000E6C26"/>
    <w:rsid w:val="001C44FD"/>
    <w:rsid w:val="002E0EA6"/>
    <w:rsid w:val="00942EFA"/>
    <w:rsid w:val="00CB5DAE"/>
    <w:rsid w:val="00D9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FA"/>
  </w:style>
  <w:style w:type="paragraph" w:styleId="1">
    <w:name w:val="heading 1"/>
    <w:basedOn w:val="a"/>
    <w:link w:val="10"/>
    <w:uiPriority w:val="9"/>
    <w:qFormat/>
    <w:rsid w:val="000E6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4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44FD"/>
    <w:rPr>
      <w:b/>
      <w:bCs/>
    </w:rPr>
  </w:style>
  <w:style w:type="character" w:styleId="a6">
    <w:name w:val="Emphasis"/>
    <w:basedOn w:val="a0"/>
    <w:uiPriority w:val="20"/>
    <w:qFormat/>
    <w:rsid w:val="001C44FD"/>
    <w:rPr>
      <w:i/>
      <w:iCs/>
    </w:rPr>
  </w:style>
  <w:style w:type="paragraph" w:customStyle="1" w:styleId="c5">
    <w:name w:val="c5"/>
    <w:basedOn w:val="a"/>
    <w:rsid w:val="001C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44FD"/>
  </w:style>
  <w:style w:type="character" w:customStyle="1" w:styleId="c3">
    <w:name w:val="c3"/>
    <w:basedOn w:val="a0"/>
    <w:rsid w:val="001C44FD"/>
  </w:style>
  <w:style w:type="character" w:customStyle="1" w:styleId="c1">
    <w:name w:val="c1"/>
    <w:basedOn w:val="a0"/>
    <w:rsid w:val="001C44FD"/>
  </w:style>
  <w:style w:type="character" w:customStyle="1" w:styleId="c4">
    <w:name w:val="c4"/>
    <w:basedOn w:val="a0"/>
    <w:rsid w:val="001C44FD"/>
  </w:style>
  <w:style w:type="character" w:customStyle="1" w:styleId="10">
    <w:name w:val="Заголовок 1 Знак"/>
    <w:basedOn w:val="a0"/>
    <w:link w:val="1"/>
    <w:uiPriority w:val="9"/>
    <w:rsid w:val="000E6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974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974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974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974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974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07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8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2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304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9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47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6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87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99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4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08058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2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alvih.ru/files/antiterror_katego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2019-02-28T13:51:00Z</dcterms:created>
  <dcterms:modified xsi:type="dcterms:W3CDTF">2019-02-28T13:51:00Z</dcterms:modified>
</cp:coreProperties>
</file>